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0BB" w:rsidRPr="00D470BB" w:rsidRDefault="00D470BB" w:rsidP="00D470BB">
      <w:pPr>
        <w:jc w:val="left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bCs/>
          <w:iCs/>
          <w:color w:val="000000" w:themeColor="text1"/>
          <w:sz w:val="20"/>
          <w:szCs w:val="20"/>
        </w:rPr>
        <w:t>Znak postępowania : A.331-1/2022</w:t>
      </w:r>
    </w:p>
    <w:p w:rsidR="00D470BB" w:rsidRPr="00D470BB" w:rsidRDefault="00D470BB" w:rsidP="00D470BB">
      <w:pPr>
        <w:jc w:val="right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bCs/>
          <w:iCs/>
          <w:color w:val="000000" w:themeColor="text1"/>
          <w:sz w:val="20"/>
          <w:szCs w:val="20"/>
        </w:rPr>
        <w:t>Załącznik nr 2 do SWZ</w:t>
      </w:r>
    </w:p>
    <w:p w:rsidR="00D470BB" w:rsidRPr="00D470BB" w:rsidRDefault="00D470BB" w:rsidP="00D470BB">
      <w:pPr>
        <w:pStyle w:val="Nagwek1"/>
        <w:numPr>
          <w:ilvl w:val="0"/>
          <w:numId w:val="0"/>
        </w:numPr>
        <w:ind w:left="-56"/>
        <w:jc w:val="center"/>
        <w:rPr>
          <w:rFonts w:ascii="Arial" w:hAnsi="Arial" w:cs="Arial"/>
          <w:sz w:val="20"/>
          <w:szCs w:val="20"/>
        </w:rPr>
      </w:pPr>
      <w:r w:rsidRPr="00D470BB">
        <w:rPr>
          <w:rFonts w:ascii="Arial" w:hAnsi="Arial" w:cs="Arial"/>
          <w:sz w:val="20"/>
          <w:szCs w:val="20"/>
        </w:rPr>
        <w:t>Istotne postanowienia umowy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Podstawą do zawarcia umowy jest oferta wybrana w postępowaniu o udzielenie zamówienia publicznego w trybie podstawowym zgodnie z ustawą z dnia 11 września 2019 r. Prawo zamówień publicznych (</w:t>
      </w:r>
      <w:r w:rsidR="004A6F77">
        <w:rPr>
          <w:rFonts w:ascii="Arial" w:hAnsi="Arial" w:cs="Arial"/>
          <w:color w:val="000000" w:themeColor="text1"/>
          <w:sz w:val="20"/>
          <w:szCs w:val="20"/>
        </w:rPr>
        <w:t>Dz. U. z 2022 poz. 1710</w:t>
      </w:r>
      <w:r w:rsidR="004214D4">
        <w:rPr>
          <w:rFonts w:ascii="Arial" w:hAnsi="Arial" w:cs="Arial"/>
          <w:color w:val="000000" w:themeColor="text1"/>
          <w:sz w:val="20"/>
          <w:szCs w:val="20"/>
        </w:rPr>
        <w:t xml:space="preserve"> ze zm.</w:t>
      </w: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).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Sprzedaż energii elektrycznej oraz świadczenie usług dystrybucji przez Wykonawcę odbywać się ma na warunkach określonych przepisami ustawy z dnia 10.04.1997 r. Prawo energetyczne (Dz. U. z 2022 r. poz. 1385 z 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</w:rPr>
        <w:t>. zm.), zgodnie z obowiązującymi rozporządzeniami do ww. ustawy,  przepisami ustawy z dnia 23.04.1964 r. – Kodeks cywilny (Dz. U. z 2022 r., poz. 1360 ze zm.) oraz zasadami określonymi w koncesji.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Wykonawca oświadcza, że posiada koncesję na obrót energią elektryczną wydaną przez Prezesa Urzędu Regulacji Energetyki. Ponadto Wykonawca oświadcza, że posiada umowę o świadczeniu usług dystrybucji umożliwiającą sprzedaż energii elektrycznej do obiektów Zamawiającego.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Zamawiający oświadcza, że posiada tytuł prawny do obiektów wymienionych w załączniku nr 1 do umowy – </w:t>
      </w:r>
      <w:r>
        <w:rPr>
          <w:rFonts w:ascii="Arial" w:hAnsi="Arial" w:cs="Arial"/>
          <w:color w:val="000000" w:themeColor="text1"/>
          <w:sz w:val="20"/>
          <w:szCs w:val="20"/>
        </w:rPr>
        <w:t>tabela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PPE.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Zamawiający określa charakterystykę elektroenergetyczną odbioru, miejsca dostarczania energii elektrycznej w załączniku nr 1 do umowy stanowiącego integralną część umowy.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Strony ustalają, że umowa wchodzi w życie z dniem podpisania, jednak rozpoczęcie sprzedaży energii elektrycznej nastąpi, nie wcześniej, niż po spełnieniu wszystkich warunków przyłączenia do sieci OSD, oraz nie wcześniej niż z dniem wejścia w życie umowy kompleksowej sprzedaży energii elektrycznej wraz z świadczeniem usług dystrybucji.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Termin realizacji umowy: od 01.01.2023 r. do 31.12.2023 r.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Rozliczenie za energię elektryczną odbywać się będzie zgodnie z obowiązującą Ofertą Wykonawcy obowiązującą dla przedmiotu zamówienia na podstawie danych przekazanych od OSD oraz zgodnie z aktualną taryfą dystrybucyjną.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Wykonawca zobowiązany jest do bilansowania handlowego, poprzez rozliczanie niezbilansowania powstałego pomiędzy zgłoszonym wolumenem energii w ramach Umowy, a rzeczywiście zakupioną energią elektryczną w okresach rozliczeniowych, w ramach ustalonej ceny za sprzedaną energię elektryczną Zamawiającego.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Wykonawca oświadcza, iż do obliczenia ceny 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zastosował 100 % ceny taryfowej aktualnej taryfy dystrybucji Operatora Systemu Dystrybucyjnego zatwierdzonej przez Prezesa Urzędu Regulacji Energetyki, który będzie obowiązywał w całym okresie obowiązywania Umowy. Cena za dystrybucję może ulec zmianie w przypadku zmiany powyższej taryfy dystrybucji. Możliwość dokonania takiej zmiany została przewidziana w treści SWZ.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Rozliczenie za sprzedaną energię elektryczną i usługę dystrybucji odbywać się będzie na podstawie faktycznego zużycia energii wg wskazań układu pomiarowo-rozliczeniowego w okresie rozliczeniowym. 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>Rozliczenia za energię elektryczną dokonywane będą zgodnie z</w:t>
      </w:r>
      <w:r w:rsidR="00CB44D5">
        <w:rPr>
          <w:rFonts w:ascii="Arial" w:hAnsi="Arial" w:cs="Arial"/>
          <w:color w:val="000000" w:themeColor="text1"/>
          <w:sz w:val="20"/>
          <w:szCs w:val="20"/>
        </w:rPr>
        <w:t xml:space="preserve"> jednomiesięcznym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okresem rozliczeniowym w oparciu o fakturę wystawioną przez Wykonawcę.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Po upływie okresu rozliczeniowego realizacji przedmiotu zamówienia, Wykonawca wystawi faktury za poprzedni okres z tytułu kompleksowej usługi dostawy energii elektrycznej i świadczenia usług dystrybucji, które będą zawierać m.in. wyszczególnienie wszystkich pozycji kosztowych.</w:t>
      </w:r>
    </w:p>
    <w:p w:rsidR="00D470BB" w:rsidRPr="002B1399" w:rsidRDefault="00D470BB" w:rsidP="002B139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Wykonawca zobowiązany jest do udzielania bonifikat za niedotrzymanie standardów jakościowych obsługi odbiorców oraz niedotrzymanie przez OSD parametrów jakościowych energii elektrycznej, w terminie 30 dni od dnia, w którym zaistniała przesłanka do ich naliczenia.</w:t>
      </w:r>
      <w:r w:rsidRPr="002B1399">
        <w:rPr>
          <w:rFonts w:ascii="Arial" w:hAnsi="Arial" w:cs="Arial"/>
          <w:color w:val="000000" w:themeColor="text1"/>
          <w:sz w:val="20"/>
          <w:szCs w:val="20"/>
          <w:lang w:eastAsia="pl-PL"/>
        </w:rPr>
        <w:t>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Faktury za energię elektryczną w okresach rozliczeniowych należy wystawić na nabywcę – </w:t>
      </w:r>
      <w:r>
        <w:rPr>
          <w:rFonts w:ascii="Arial" w:hAnsi="Arial" w:cs="Arial"/>
          <w:color w:val="000000" w:themeColor="text1"/>
          <w:sz w:val="20"/>
          <w:szCs w:val="20"/>
        </w:rPr>
        <w:t>Książnica Podlaska im. Łukasza Górnickiego w Białymstoku, ul. M. Curie – Skłodowskiej 14A, 15-097 Białystok , NIP</w:t>
      </w:r>
      <w:r w:rsidRPr="00D3393E">
        <w:rPr>
          <w:rFonts w:ascii="Arial" w:hAnsi="Arial" w:cs="Arial"/>
          <w:sz w:val="20"/>
          <w:szCs w:val="20"/>
        </w:rPr>
        <w:t>: 542-21-24-069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zgodnie z poniższym wskazaniem:</w:t>
      </w:r>
    </w:p>
    <w:p w:rsidR="00D470BB" w:rsidRPr="00D470BB" w:rsidRDefault="00D470BB" w:rsidP="00D470BB">
      <w:pPr>
        <w:pStyle w:val="Akapitzlist"/>
        <w:numPr>
          <w:ilvl w:val="0"/>
          <w:numId w:val="3"/>
        </w:numPr>
        <w:tabs>
          <w:tab w:val="decimal" w:pos="720"/>
        </w:tabs>
        <w:spacing w:line="276" w:lineRule="auto"/>
        <w:ind w:left="851" w:right="-2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Wykonawca będzie wystawiał osobne faktury ze szczegółami rozliczenia dla każdego PPE, zgodnie z</w:t>
      </w:r>
      <w:r w:rsidR="00CB44D5">
        <w:rPr>
          <w:rFonts w:ascii="Arial" w:hAnsi="Arial" w:cs="Arial"/>
          <w:color w:val="000000" w:themeColor="text1"/>
          <w:sz w:val="20"/>
          <w:szCs w:val="20"/>
        </w:rPr>
        <w:t xml:space="preserve"> jednomiesięcznym okresem rozliczeniowym</w:t>
      </w:r>
    </w:p>
    <w:p w:rsidR="00D470BB" w:rsidRPr="00D470BB" w:rsidRDefault="00D470BB" w:rsidP="00D470BB">
      <w:pPr>
        <w:pStyle w:val="Akapitzlist"/>
        <w:numPr>
          <w:ilvl w:val="0"/>
          <w:numId w:val="3"/>
        </w:numPr>
        <w:tabs>
          <w:tab w:val="decimal" w:pos="720"/>
        </w:tabs>
        <w:spacing w:line="276" w:lineRule="auto"/>
        <w:ind w:left="851" w:right="-2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Wykonawca dostarcza faktury na adres </w:t>
      </w:r>
      <w:r w:rsidR="004A6F77">
        <w:rPr>
          <w:rFonts w:ascii="Arial" w:hAnsi="Arial" w:cs="Arial"/>
          <w:color w:val="000000" w:themeColor="text1"/>
          <w:sz w:val="20"/>
          <w:szCs w:val="20"/>
        </w:rPr>
        <w:t>Nabywcy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>. Zamawiający wyraża zgodę na dostarczanie faktur VAT za pośrednictwem k</w:t>
      </w:r>
      <w:r w:rsidR="004A6F77">
        <w:rPr>
          <w:rFonts w:ascii="Arial" w:hAnsi="Arial" w:cs="Arial"/>
          <w:color w:val="000000" w:themeColor="text1"/>
          <w:sz w:val="20"/>
          <w:szCs w:val="20"/>
        </w:rPr>
        <w:t>anałów elektronicznych na podany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A6F77">
        <w:rPr>
          <w:rFonts w:ascii="Arial" w:hAnsi="Arial" w:cs="Arial"/>
          <w:color w:val="000000" w:themeColor="text1"/>
          <w:sz w:val="20"/>
          <w:szCs w:val="20"/>
        </w:rPr>
        <w:t>przez Zamawiającego  adres poczty elektronicznej: ksiaznica@ksiaznicapodlaska.pl</w:t>
      </w:r>
    </w:p>
    <w:p w:rsidR="00D470BB" w:rsidRPr="00D470BB" w:rsidRDefault="00D470BB" w:rsidP="00D470BB">
      <w:pPr>
        <w:pStyle w:val="Akapitzlist"/>
        <w:numPr>
          <w:ilvl w:val="0"/>
          <w:numId w:val="3"/>
        </w:numPr>
        <w:tabs>
          <w:tab w:val="decimal" w:pos="720"/>
        </w:tabs>
        <w:spacing w:line="276" w:lineRule="auto"/>
        <w:ind w:left="851" w:right="-2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Termin płatności faktury: 14 dni.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Ustrukturyzowana faktura elektroniczna składa się z danych wymaganych przepisami o podatku od towarów i usług oraz danych zawierających:</w:t>
      </w:r>
    </w:p>
    <w:p w:rsidR="00D470BB" w:rsidRPr="00D470BB" w:rsidRDefault="00D470BB" w:rsidP="00D470B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informacje dotyczące odbiorcy płatności;</w:t>
      </w:r>
    </w:p>
    <w:p w:rsidR="00D470BB" w:rsidRPr="00D470BB" w:rsidRDefault="00D470BB" w:rsidP="00D470B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wskazanie umowy zamówienia publicznego.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Za termin zapłaty faktury uznaje się dzień wpływu środków na konto Wykonawcy.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Wykonawca zobowiązany jest do:</w:t>
      </w:r>
    </w:p>
    <w:p w:rsidR="00D470BB" w:rsidRPr="00D470BB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sprzedaży energii elektrycznej zgodnie z obowiązującymi standardami określonymi w aktach wykonawczych do ustawy Prawo energetyczne,</w:t>
      </w:r>
    </w:p>
    <w:p w:rsidR="00D470BB" w:rsidRPr="00D470BB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przyjmowania zgłoszeń i reklamacji Zamawiającego,</w:t>
      </w:r>
    </w:p>
    <w:p w:rsidR="00D470BB" w:rsidRPr="00D470BB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niezwłocznego przekazywania Zamawiającemu informacji mających istotny wpływ na realizację umowy,</w:t>
      </w:r>
    </w:p>
    <w:p w:rsidR="00D470BB" w:rsidRPr="00D470BB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posiadania w trakcie realizacji zamówienia, ubezpieczenia od odpowiedzialności cywilnej w zakresie prowadzonej działalności związanej z przedmiotem zamówienia.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Zamawiający</w:t>
      </w: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zobowiązany jest do: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pobierania mocy i energii elektrycznej zgodnie z obowiązującymi przepisami i na warunkach określonych w zawartej umowie,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utrzymywania należącej do niego sieci, wewnętrznej instalacji zasilającej i odbiorczej w należytym stanie technicznym,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terminowego regulowania należności za energię elektryczną oraz innych należności związanych z dostarczeniem tej energii,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utrzymywania użytkowanej nieruchomości w sposób niepowodujący utrudnień w prawidłowym funkcjonowaniu sieci, a w szczególności do zachowania wymaganych odległości od istniejących urządzeń i instalacji, w przypadku stawiania obiektów budowlanych i sadzenia drzew, zgodnie z wymaganymi określonymi w przepisach Prawa budowlanego, powierzania budowy lub dokonywania zmian w instalacji elektrycznej osobom posiadającym odpowiednie uprawnienia i kwalifikacje,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umożliwienia upoważnionym przedstawicielom Wykonawcy dostępu, wraz z niezbędnym sprzętem do należących do niego elementów sieci i urządzeń znajdujących się na terenie lub obiekcie Zamawiającego w celu przeprowadzenia prac eksploatacyjnych lub usunięcia awarii w sieci lub do układu pomiarowo-rozliczeniowego,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zabezpieczenia przed uszkodzeniem układu pomiarowo-rozliczeniowego i zabezpieczeń głównych, jeżeli znajdują się na terenie lub w obiekcie Zamawiającego,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niezwłocznego poinformowania Wykonawcy o zauważonych wadach lub usterkach w układzie pomiarowo-rozliczeniowym i innych okolicznościach mających wpływ na możliwość niewłaściwego rozliczenia za energię elektryczną oraz o powstałych przerwach w dostarczeniu energii elektrycznej lub niewłaściwych jej parametrach,</w:t>
      </w:r>
    </w:p>
    <w:p w:rsidR="00D470BB" w:rsidRPr="00D470BB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dostosowania swoich urządzeń do zmienionych warunków funkcjonowania sieci, o których został uprzednio powiadomiony.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Umowa</w:t>
      </w: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może być rozwiązana:</w:t>
      </w:r>
    </w:p>
    <w:p w:rsidR="00D470BB" w:rsidRPr="00D470BB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przez Wykonawcę w przypadku rażącego i uporczywego niewykonywania lub rażącego i uporczywego nienależytego wykonania umowy przez Zamawiającego,</w:t>
      </w:r>
    </w:p>
    <w:p w:rsidR="00D470BB" w:rsidRPr="00D470BB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może odstąpić od umowy w przypadku wystąpienia istotnej zmiany okoliczności powodującej, że wykonanie umowy nie leży w interesie publicznym, czego nie można było przewidzieć w chwili zawarcia umowy. Zamawiający może odstąpić od umowy w terminie 30 dni od powzięcia wiadomości o tych okolicznościach. W przypadku takim, Wykonawca może żądać wyłącznie wynagrodzenia należnego z tytułu wykonania części umowy,</w:t>
      </w:r>
    </w:p>
    <w:p w:rsidR="00D470BB" w:rsidRPr="00D470BB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przez Zamawiającego w razie ogłoszenia upadłości lub likwidacji Wykonawcy,</w:t>
      </w:r>
    </w:p>
    <w:p w:rsidR="00D470BB" w:rsidRPr="00D470BB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przez Zamawiającego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w razie wydania nakazu zajęcia majątku Wykonawcy, lub wszczęto przeciw Wykonawcy postępowanie egzekucyjne zagrażające realizacji Przedmiotu Umowy,</w:t>
      </w:r>
    </w:p>
    <w:p w:rsidR="00D470BB" w:rsidRPr="00D470BB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lastRenderedPageBreak/>
        <w:t>przez Zamawiającego w przypadku zaprzestania realizacji przedmiotu umowy przez Wykonawcę.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Zmiana</w:t>
      </w: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istotnych postanowień Umowy jest możliwa w następujących przypadkach: 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Zamawiający zastrzega możliwość zmiany treści umowy w odniesieniu do zakresu przedmiotu zamówienia, tj. zmiany prognozowanej wielkości zużycia energii elektrycznej, wynikającej m.in. ze zmiany (zmniejszenia lub zwiększenia) ilości miejsc dostarczania energii elektrycznej (przyłączy, punktów poboru), dostaw i 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innych obiektów niewskazanych w Załączniku do umowy lub w sytuacji zwiększenia dostaw wraz z 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przesyłem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obiektu w związku z dokonaną rozbudową, przebudową obiektu itd. 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>Zwiększenie ilości punktów poboru energii lub zmiana grupy taryfowej możliwe są jedynie w obrębie grup taryfowych, które zostały ujęte w SWZ oraz wycenione w Formularzu Ofertowym Wykonawcy</w:t>
      </w: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. Zmiany, o których mowa powyżej dokonywane są na podstawie aneksu do umowy.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Zamawiający zastrzega również możliwość zmiany treści umowy dot. ceny za dystrybucję energii w przypadku zmiany taryfy dystrybucji Operatora Systemu Dystrybucyjnego zatwierdzonej przez Prezesa Urzędu Regulacji Energetyki, z zastrzeżeniem obowiązywania w całym okresie obowiązywania umowy podanej w ofercie Wykonawcy wielkości 100 % ceny taryfowej zastosowanej do obliczenia ceny 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energii. Zmiana cen dokonana przez odpowiedni organ (dostawy i 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) nie wymaga zmiany umowy.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Określone w SWZ parametry dystrybucyjne poszczególnych PPE są zgodne z obowiązującymi umowami. W przypadku gdy zmiana parametrów dystrybucyjnych wiązać się będzie z koniecznością ponoszenia dodatkowych opłat zgodnie z taryfą OSD Zamawiający zobowiązany będzie do ich uiszczenia.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dopuszcza także zmiany treści umowy w przypadku okoliczności, których nie można przewidzieć na etapie wszczęcia postępowania m.in. związanych z procedurami, zmianami organizacyjnymi i uwarunkowaniami wewnętrznymi Zamawiającego np. zaprzestanie dostaw i </w:t>
      </w:r>
      <w:proofErr w:type="spellStart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jednego lub kilku obiektów wskazanych w Załączniku ze względu np. na wyłączenie obiektu z eksploatacji.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zastrzega zmiany treści umowy w przypadkach, gdy zaistnieje istotna zmiana okoliczności powodująca, że wykonanie umowy w dotychczasowym brzmieniu nie leży w interesie publicznym, czego nie można było przewidzieć w chwili zawarcia umowy.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przewiduje możliwość zmiany postanowień umowy w stosunku do treści oferty w przypadkach, gdy:</w:t>
      </w:r>
    </w:p>
    <w:p w:rsidR="00D470BB" w:rsidRPr="00D470BB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powszechnie obowiązujących przepisów prawa w zakresie mającym wpływ na realizację przedmiotu zamówienia;</w:t>
      </w:r>
    </w:p>
    <w:p w:rsidR="00D470BB" w:rsidRPr="00D470BB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stawki podatku VAT lub ustawowa zmiana opodatkowania energii elektrycznej podatkiem akcyzowym oraz w przypadku ogólnie obowiązujących przepisów prawa, a w szczególności zmiany ustawy Prawo Energetyczne, Ustawy o efektywności energetycznej lub przepisów wykonawczych wprowadzających dodatkowe obowiązki związane z zakupem praw majątkowych lub certyfikatów dotyczących efektywności energetycznej. Ceny energii elektrycznej zostają powiększone o kwotę wynikającą z obowiązków nałożonych właściwymi przepisami, od dnia ich wejścia w życie, bez konieczności sporządzania aneksu do umowy, o czym Zamawiający zostanie poinformowany na piśmie;</w:t>
      </w:r>
    </w:p>
    <w:p w:rsidR="00D470BB" w:rsidRPr="00D470BB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taryfy OSD.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Zmiana mocy przyłączeniowej nastąpi po dokonaniu przez Zamawiającego wszelkich czynności związanych ze zmianą warunków przyłączenia u OSD i przedstawieniu „Potwierdzenia możliwości świadczenia usługi dystrybucji i określenie parametrów technicznych dostaw” lub wydaniu decyzji przez OSD. Zmiana warunków przyłączeniowych wiązać się może z koniecznością dostosowania kosztem Odbiorcy, na warunkach określonych przez OSD, urządzeń elektroenergetycznych (w tym układu pomiarowo-rozliczeniowego dla grup przyłączeniowych II i III) do nowych warunków dostarczania energii elektrycznej lub realizacji nowych warunków przyłączenia oraz z koniecznością zawarcia nowej umowy kompleksowej.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lastRenderedPageBreak/>
        <w:t>Zamawiający zastrzega sobie możliwość zmniejszenia ilości dostaw przedmiotu zamówienia wyszczególnionego w dokumentach postępowania, stosownie do rzeczywistych potrzeb, a tym samym zmniejszenia wartości umowy. Łączna wartość wykonanych dostaw będzie nie mniejsza niż 70% wartości umowy.</w:t>
      </w:r>
    </w:p>
    <w:p w:rsidR="00D470BB" w:rsidRPr="00D470BB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D470BB">
        <w:rPr>
          <w:rFonts w:ascii="Arial" w:hAnsi="Arial" w:cs="Arial"/>
          <w:color w:val="000000" w:themeColor="text1"/>
          <w:sz w:val="20"/>
          <w:szCs w:val="20"/>
          <w:lang w:eastAsia="pl-PL"/>
        </w:rPr>
        <w:t>W przypadku zaistnienia w/w okoliczności zmiany umowy będą miały charakter obligatoryjny.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Wszelkie zmiany w umowie wymagają pod rygorem nieważności formy aneksu podpisanego przez obie strony, z zastrzeżeniem </w:t>
      </w:r>
      <w:r w:rsidR="002B1399">
        <w:rPr>
          <w:rFonts w:ascii="Arial" w:hAnsi="Arial" w:cs="Arial"/>
          <w:color w:val="000000" w:themeColor="text1"/>
          <w:sz w:val="20"/>
          <w:szCs w:val="20"/>
        </w:rPr>
        <w:t>ust. 20</w:t>
      </w:r>
      <w:bookmarkStart w:id="0" w:name="_GoBack"/>
      <w:bookmarkEnd w:id="0"/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pkt. 6 b).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Strony zgodnie postanawiają, że przewidywane wynagrodzenie Wykonawcy z tytułu przedmiotowej umowy ustalone w oparciu o szacowany pobór energii elektrycznej dla wszystkich punktów poboru energii elektrycznej opisanych w załączniku nr 1 do umowy wyniesie </w:t>
      </w:r>
      <w:r w:rsidRPr="00D470BB">
        <w:rPr>
          <w:rFonts w:ascii="Arial" w:hAnsi="Arial" w:cs="Arial"/>
          <w:b/>
          <w:color w:val="000000" w:themeColor="text1"/>
          <w:sz w:val="20"/>
          <w:szCs w:val="20"/>
        </w:rPr>
        <w:t xml:space="preserve">brutto ……………………zł 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D470BB">
        <w:rPr>
          <w:rFonts w:ascii="Arial" w:hAnsi="Arial" w:cs="Arial"/>
          <w:b/>
          <w:color w:val="000000" w:themeColor="text1"/>
          <w:sz w:val="20"/>
          <w:szCs w:val="20"/>
        </w:rPr>
        <w:t>słownie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t>:………………………………………..).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Wynagrodzenie wykonawcy ma charakter orientacyjny (szacunkowy) i określenie jego kwoty nie będzie stanowić podstaw rozliczeń. Wynagrodzenie, które będzie przysługiwało Wykonawcy określone zostanie na podstawie faktycznej ilości poboru energii oraz ceny jednostkowej Wykonawcy.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Wykonawca zapłaci Zamawiającemu kary umowne:</w:t>
      </w:r>
    </w:p>
    <w:p w:rsidR="00D470BB" w:rsidRPr="00D470BB" w:rsidRDefault="00D470BB" w:rsidP="00D470B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 xml:space="preserve">Za odstąpienie od umowy przez Zamawiającego z przyczyn zależnych od Wykonawcy </w:t>
      </w:r>
      <w:r w:rsidRPr="00D470BB">
        <w:rPr>
          <w:rFonts w:ascii="Arial" w:hAnsi="Arial" w:cs="Arial"/>
          <w:color w:val="000000" w:themeColor="text1"/>
          <w:sz w:val="20"/>
          <w:szCs w:val="20"/>
        </w:rPr>
        <w:br/>
        <w:t>w wysokości 20 % przewidywanego wynagrodzenia Wykonawcy brutto z tytułu przedmiotowej umowy.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Łączna wysokość kar umownych nie przekroczy 20 % wartości umowy.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 przypadku wystąpienia przesłanek uprawniających Zamawiającego do naliczenia kar umownych Zamawiający może wystawić Wykonawcy Notę obciążeniową lub potrącić wymagane kary umowne z wynagrodzenia Wykonawcy.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Zamawiający może dokonać potrącenia wymaganych kar umownych z wynagrodzenia Wykonawcy, składając właściwe oświadczenie. Kary będą potrącane automatycznie bez uzyskania zgody Wykonawcy.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Termin zapłaty należności tytułem kar umownych wynosi 7 dni od dnia doręczenia noty obciążeniowej.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W sprawach nieuregulowanych w umowie mają zastosowanie przepisy ustawy Prawo zamówień publicznych, Prawo energetyczne, Kodeksu cywilnego.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Spory powstałe w trakcie realizacji niniejszej umowy rozpatrywać będzie rzeczowo sąd cywilny właściwy dla siedziby Zamawiającego.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Umowa zostaje sporządzona w 2 jednobrzmiących egzemplarzach, w tym 1 egzemplarz dla Zamawiającego i 1 egzemplarz dla Wykonawcy.</w:t>
      </w:r>
    </w:p>
    <w:p w:rsidR="00D470BB" w:rsidRPr="00D470BB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D470BB">
        <w:rPr>
          <w:rFonts w:ascii="Arial" w:hAnsi="Arial" w:cs="Arial"/>
          <w:color w:val="000000" w:themeColor="text1"/>
          <w:sz w:val="20"/>
          <w:szCs w:val="20"/>
        </w:rPr>
        <w:t>Załącznikiem do umowy jest Oferta Wykonawcy.</w:t>
      </w:r>
    </w:p>
    <w:p w:rsidR="00D74678" w:rsidRPr="00D470BB" w:rsidRDefault="00D74678">
      <w:pPr>
        <w:rPr>
          <w:rFonts w:ascii="Arial" w:hAnsi="Arial" w:cs="Arial"/>
          <w:sz w:val="20"/>
          <w:szCs w:val="20"/>
        </w:rPr>
      </w:pPr>
    </w:p>
    <w:sectPr w:rsidR="00D74678" w:rsidRPr="00D470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BEA" w:rsidRDefault="00451BEA" w:rsidP="00D470BB">
      <w:pPr>
        <w:spacing w:line="240" w:lineRule="auto"/>
      </w:pPr>
      <w:r>
        <w:separator/>
      </w:r>
    </w:p>
  </w:endnote>
  <w:endnote w:type="continuationSeparator" w:id="0">
    <w:p w:rsidR="00451BEA" w:rsidRDefault="00451BEA" w:rsidP="00D470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BEA" w:rsidRDefault="00451BEA" w:rsidP="00D470BB">
      <w:pPr>
        <w:spacing w:line="240" w:lineRule="auto"/>
      </w:pPr>
      <w:r>
        <w:separator/>
      </w:r>
    </w:p>
  </w:footnote>
  <w:footnote w:type="continuationSeparator" w:id="0">
    <w:p w:rsidR="00451BEA" w:rsidRDefault="00451BEA" w:rsidP="00D470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BB" w:rsidRDefault="00D470BB" w:rsidP="00D470BB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7B90"/>
    <w:multiLevelType w:val="hybridMultilevel"/>
    <w:tmpl w:val="81760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05052D6"/>
    <w:multiLevelType w:val="multilevel"/>
    <w:tmpl w:val="9BDA8ED8"/>
    <w:lvl w:ilvl="0">
      <w:start w:val="1"/>
      <w:numFmt w:val="upperRoman"/>
      <w:pStyle w:val="Nagwek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B70324E"/>
    <w:multiLevelType w:val="hybridMultilevel"/>
    <w:tmpl w:val="81760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1ED7196"/>
    <w:multiLevelType w:val="hybridMultilevel"/>
    <w:tmpl w:val="64A4594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D9A41B4"/>
    <w:multiLevelType w:val="hybridMultilevel"/>
    <w:tmpl w:val="C64872B6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8A87B51"/>
    <w:multiLevelType w:val="hybridMultilevel"/>
    <w:tmpl w:val="4C3E5B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61490"/>
    <w:multiLevelType w:val="hybridMultilevel"/>
    <w:tmpl w:val="2D08EFE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3C944DA"/>
    <w:multiLevelType w:val="hybridMultilevel"/>
    <w:tmpl w:val="2A8ECD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D32AE"/>
    <w:multiLevelType w:val="hybridMultilevel"/>
    <w:tmpl w:val="D9F6353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7B3C104E"/>
    <w:multiLevelType w:val="hybridMultilevel"/>
    <w:tmpl w:val="8A427F1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EE13FB6"/>
    <w:multiLevelType w:val="hybridMultilevel"/>
    <w:tmpl w:val="C87CB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ADC"/>
    <w:rsid w:val="002B1399"/>
    <w:rsid w:val="003B4907"/>
    <w:rsid w:val="004214D4"/>
    <w:rsid w:val="00451BEA"/>
    <w:rsid w:val="004A6F77"/>
    <w:rsid w:val="00666695"/>
    <w:rsid w:val="00A92ADC"/>
    <w:rsid w:val="00CB44D5"/>
    <w:rsid w:val="00CD7700"/>
    <w:rsid w:val="00D16F10"/>
    <w:rsid w:val="00D470BB"/>
    <w:rsid w:val="00D74678"/>
    <w:rsid w:val="00E5121E"/>
    <w:rsid w:val="00E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23F4"/>
  <w15:chartTrackingRefBased/>
  <w15:docId w15:val="{ACA70E51-168B-4314-AB1F-F219899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0BB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70BB"/>
    <w:pPr>
      <w:keepNext/>
      <w:keepLines/>
      <w:numPr>
        <w:numId w:val="1"/>
      </w:numPr>
      <w:spacing w:before="240" w:line="276" w:lineRule="auto"/>
      <w:ind w:left="426" w:right="-1" w:hanging="142"/>
      <w:outlineLvl w:val="0"/>
    </w:pPr>
    <w:rPr>
      <w:rFonts w:eastAsia="Times New Roman"/>
      <w:b/>
      <w:bCs/>
      <w:color w:val="000000" w:themeColor="text1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470BB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D470BB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470BB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70BB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470BB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470BB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470BB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470BB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D470BB"/>
    <w:rPr>
      <w:rFonts w:ascii="Times New Roman" w:eastAsia="Times New Roman" w:hAnsi="Times New Roman" w:cs="Times New Roman"/>
      <w:b/>
      <w:bCs/>
      <w:color w:val="000000" w:themeColor="text1"/>
    </w:rPr>
  </w:style>
  <w:style w:type="character" w:customStyle="1" w:styleId="Nagwek2Znak">
    <w:name w:val="Nagłówek 2 Znak"/>
    <w:basedOn w:val="Domylnaczcionkaakapitu"/>
    <w:link w:val="Nagwek2"/>
    <w:uiPriority w:val="99"/>
    <w:rsid w:val="00D470BB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D470BB"/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D470BB"/>
    <w:rPr>
      <w:rFonts w:ascii="Cambria" w:eastAsia="Times New Roman" w:hAnsi="Cambria" w:cs="Cambria"/>
      <w:b/>
      <w:bCs/>
      <w:i/>
      <w:iCs/>
      <w:color w:val="4F81BD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9"/>
    <w:rsid w:val="00D470BB"/>
    <w:rPr>
      <w:rFonts w:ascii="Cambria" w:eastAsia="Times New Roman" w:hAnsi="Cambria" w:cs="Cambria"/>
      <w:color w:val="243F6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rsid w:val="00D470BB"/>
    <w:rPr>
      <w:rFonts w:ascii="Cambria" w:eastAsia="Times New Roman" w:hAnsi="Cambria" w:cs="Cambria"/>
      <w:i/>
      <w:iCs/>
      <w:color w:val="243F6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9"/>
    <w:rsid w:val="00D470BB"/>
    <w:rPr>
      <w:rFonts w:ascii="Cambria" w:eastAsia="Times New Roman" w:hAnsi="Cambria" w:cs="Cambria"/>
      <w:i/>
      <w:iCs/>
      <w:color w:val="40404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D470BB"/>
    <w:rPr>
      <w:rFonts w:ascii="Cambria" w:eastAsia="Times New Roman" w:hAnsi="Cambria" w:cs="Cambria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rsid w:val="00D470BB"/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Akapitzlist">
    <w:name w:val="List Paragraph"/>
    <w:aliases w:val="Akapit z listą BS,CW_Lista,Akapit z listą1,List Paragraph"/>
    <w:basedOn w:val="Normalny"/>
    <w:link w:val="AkapitzlistZnak"/>
    <w:uiPriority w:val="34"/>
    <w:qFormat/>
    <w:rsid w:val="00D470BB"/>
    <w:pPr>
      <w:ind w:left="284"/>
    </w:pPr>
  </w:style>
  <w:style w:type="character" w:customStyle="1" w:styleId="AkapitzlistZnak">
    <w:name w:val="Akapit z listą Znak"/>
    <w:aliases w:val="Akapit z listą BS Znak,CW_Lista Znak,Akapit z listą1 Znak,List Paragraph Znak"/>
    <w:link w:val="Akapitzlist"/>
    <w:uiPriority w:val="34"/>
    <w:qFormat/>
    <w:locked/>
    <w:rsid w:val="00D470BB"/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470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0BB"/>
    <w:rPr>
      <w:rFonts w:ascii="Times New Roman" w:eastAsia="Calibri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470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70BB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1960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13695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p.wilczewski</dc:creator>
  <cp:keywords/>
  <dc:description/>
  <cp:lastModifiedBy>p.wilczewski</cp:lastModifiedBy>
  <cp:revision>7</cp:revision>
  <dcterms:created xsi:type="dcterms:W3CDTF">2022-10-06T13:03:00Z</dcterms:created>
  <dcterms:modified xsi:type="dcterms:W3CDTF">2022-10-10T07:00:00Z</dcterms:modified>
</cp:coreProperties>
</file>